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BC9C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b/>
          <w:lang w:eastAsia="ru-RU"/>
        </w:rPr>
        <w:drawing>
          <wp:inline distT="0" distB="0" distL="0" distR="0">
            <wp:extent cx="3310255" cy="128460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0255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103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B7BDA0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5ED29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5366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3D8141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9A6AD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A544BC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EAF5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ОПИСАНИЕ </w:t>
      </w:r>
    </w:p>
    <w:p w14:paraId="36DC90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КОМПЕТЕНЦИИ</w:t>
      </w:r>
    </w:p>
    <w:p w14:paraId="376287B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«Обслуживание и ремонт оборудования релейной защиты и автоматики»</w:t>
      </w:r>
    </w:p>
    <w:p w14:paraId="6DA2BA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6E50F4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87273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7F8A42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BE3C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5151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1864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0E2CEF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82A177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1D427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0CED53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CC1DBE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D0AD7D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A19106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2ECBA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EB2371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5F841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FED050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2E7AFD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D51CF6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68F8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851" w:bottom="1134" w:left="1701" w:header="720" w:footer="709" w:gutter="0"/>
          <w:cols w:space="720" w:num="1"/>
          <w:titlePg/>
          <w:docGrid w:linePitch="360" w:charSpace="-2254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2025 г.</w:t>
      </w:r>
    </w:p>
    <w:p w14:paraId="2A3840E4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Наименование компетенции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: «Обслуживание и ремонт оборудования релейной защиты и автоматики»</w:t>
      </w:r>
    </w:p>
    <w:p w14:paraId="4B1E274B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bCs/>
          <w:sz w:val="28"/>
          <w:szCs w:val="28"/>
        </w:rPr>
      </w:pPr>
    </w:p>
    <w:p w14:paraId="5ED6587D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Формат участия в соревновании</w:t>
      </w:r>
      <w:r>
        <w:rPr>
          <w:rFonts w:ascii="Times New Roman" w:hAnsi="Times New Roman" w:eastAsia="Calibri" w:cs="Times New Roman"/>
          <w:sz w:val="28"/>
          <w:szCs w:val="28"/>
        </w:rPr>
        <w:t>: индивидуальный</w:t>
      </w:r>
    </w:p>
    <w:p w14:paraId="600D90FE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bCs/>
          <w:sz w:val="28"/>
          <w:szCs w:val="28"/>
        </w:rPr>
      </w:pPr>
    </w:p>
    <w:p w14:paraId="03805B7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Описание компетенции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</w:p>
    <w:p w14:paraId="6E4162A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Электрические машины, аппараты, кабельные и воздушные линии электропередач, являясь неотъемлемыми элементами электрических установок и сетей, перманентно подвергаются воздействию электрического тока и напряжения. В процессе эксплуатации, в силу различных факторов, возникают отклонения от нормальных режимов работы, часто приводящие к повреждениям, наиболее опасным из которых является короткое замыкание (КЗ).</w:t>
      </w:r>
    </w:p>
    <w:p w14:paraId="5D72A7F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Короткое замыкание, возникающее вследствие пробоя или перекрытия изоляции электрооборудования и линий электропередач, обрыва проводов, ошибочных действий персонала (например, включение под напряжение заземленного оборудования, отключение разъединителей под нагрузкой), представляет собой наиболее деструктивный вид повреждения. В точке КЗ, как правило, возникает электрическая дуга, характеризующаяся экстремально высокой температурой, что приводит к значительному разрушению токоведущих частей, изоляторов и электрических аппаратов. Одновременно происходит существенное снижение напряжения в сети, электрически связанной с местом повреждения, вызывая остановку электродвигателей на промышленных предприятиях и нарушение синхронной работы генераторов электростанций.</w:t>
      </w:r>
    </w:p>
    <w:p w14:paraId="12A3708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Предотвращение аварийных ситуаций достигается посредством оперативного отключения поврежденного участка электрической установки или сети с использованием специализированных автоматических устройств, известных как устройства релейной защиты (РЗА). Эти устройства инициируют отключение выключателей, прерывая тем самым электрическую дугу в месте КЗ, прекращая протекание тока КЗ и восстанавливая номинальное напряжение в неповрежденной части электрической установки или сети. В результате минимизируются или полностью исключаются повреждения оборудования, подвергшегося КЗ.</w:t>
      </w:r>
    </w:p>
    <w:p w14:paraId="23218A5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Таким образом, основная задача РЗА заключается в обнаружении места возникновения КЗ и немедленном автоматическом отключении выключателей поврежденного оборудования или участка сети.</w:t>
      </w:r>
    </w:p>
    <w:p w14:paraId="58C42F0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Дополнительной функцией РЗА является выявление отклонений от нормальных режимов работы оборудования с последующей подачей предупредительных сигналов обслуживающему персоналу или отключением оборудования с заданной выдержкой времени.</w:t>
      </w:r>
    </w:p>
    <w:p w14:paraId="794BEA3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В соответствии с нормативной документацией, данная специализация обозначается как «Инженер (электромонтер) по ремонту аппаратуры релейной защиты и автоматики (РЗА)». Специфика работы предполагает постоянный контакт персонала РЗА с оборудованием, находящимся под высоким напряжением. В этой связи неукоснительное соблюдение мер предосторожности является неотъемлемой частью профессиональной деятельности. Работники служб РЗА в обязательном порядке проходят обучение по оказанию первой доврачебной помощи.</w:t>
      </w:r>
    </w:p>
    <w:p w14:paraId="70652A4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В большинстве случаев специалисты выполняют плановый или аварийный ремонт оборудования, что является их основной зоной ответственности. Работы в цепях и устройствах РЗА должны выполняться строго в соответствии с утвержденными графиками и требованиями нормативно-технической документации (НТД) по РЗА.</w:t>
      </w:r>
    </w:p>
    <w:p w14:paraId="7414C29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Непрерывное повышение квалификации, изучение технической литературы, глубокое понимание схем и чертежей, а также регулярная сдача экзаменов и нормативов по технике безопасности на протяжении всего периода работы являются обязательными условиями для специалистов РЗА.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</w:p>
    <w:p w14:paraId="5B79BCA6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Функционирование устройств РЗА основано на использовании различных принципов и алгоритмов, реализуемых с помощью электромеханических, микроэлектронных и микропроцессорных компонентов. Выбор конкретного типа защиты определяется множеством факторов, включая характеристики защищаемого объекта, конфигурацию сети и требования к быстродействию. Современные системы РЗА представляют собой сложные комплексы, интегрированные в общую систему управления электроэнергетическим режимом энергосистемы. Согласно ГОСТ Р 58475-2019 интеллектуальные системы РЗА обеспечивают повышение надежности и эффективности работы электроэнергетических объектов за счет автоматизированного мониторинга, диагностики и управления.</w:t>
      </w:r>
    </w:p>
    <w:p w14:paraId="68470325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Процесс обслуживания и ремонта оборудования РЗА включает в себя несколько этапов, начиная с диагностики состояния оборудования и заканчивая его настройкой и испытаниями после ремонта. Диагностика может включать в себя визуальный осмотр, измерение электрических параметров, проверку функционирования логических схем и анализ данных, полученных от встроенных систем самодиагностики. При ремонте оборудования РЗА используются специализированные инструменты и оборудование, а также применяются методы, соответствующие требованиям нормативной документации, такой как "Правила технической эксплуатации электроустановок потребителей" (ПТЭЭП).</w:t>
      </w:r>
    </w:p>
    <w:p w14:paraId="0750904A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Особое внимание уделяется проверке правильности функционирования устройств РЗА после ремонта или замены компонентов. Эта проверка включает в себя испытания в различных режимах работы, имитирующих возникновение аварийных ситуаций. Результаты испытаний тщательно анализируются, и при необходимости вносятся корректировки в настройки устройств РЗА. Важным аспектом является ведение документации по обслуживанию и ремонту оборудования РЗА, в которой фиксируются все выполненные работы, результаты испытаний и внесенные изменения.</w:t>
      </w:r>
    </w:p>
    <w:p w14:paraId="38BC254D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24EFBA37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 условиях цифровизации электроэнергетики все большее распространение получают цифровые РЗА, которые обладают рядом преимуществ по сравнению с электромеханическими и микроэлектронными аналогами. Цифровые РЗА обеспечивают более высокую точность и быстродействие, а также обладают возможностью интеграции с другими системами управления и мониторинга. Развитие цифровых РЗА требует от специалистов новых знаний и навыков в области микропроцессорной техники, программирования и цифровой обработки сигналов. Это подчеркивает необходимость постоянного обучения и повышения квалификации персонала РЗА в соответствии с современными требованиями.</w:t>
      </w:r>
    </w:p>
    <w:p w14:paraId="1BC78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CB5D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Нормативные правовые акты.</w:t>
      </w:r>
    </w:p>
    <w:p w14:paraId="01BBA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с учётом следующих документов, регулирующих деятельность работников, осуществляющих обслуживание и ремонт оборудования релейной защиты и автоматики электрических сетей:</w:t>
      </w:r>
    </w:p>
    <w:p w14:paraId="17B61485">
      <w:pPr>
        <w:numPr>
          <w:ilvl w:val="0"/>
          <w:numId w:val="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27.12.2002 № 184-ФЗ «О техническом регулировании», устанавливающий правовые основы стандартизации, подтверждения соответствия и аккредитации в Российской Федерации.</w:t>
      </w:r>
    </w:p>
    <w:p w14:paraId="3F3DF1C9">
      <w:pPr>
        <w:numPr>
          <w:ilvl w:val="0"/>
          <w:numId w:val="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технической эксплуатации электрических станций и сетей Российской Федерации (ПТЭ), утвержденные Приказом Минэнерго России от 19.06.2003 № 229, регламентирующие требования к эксплуатации и техническому обслуживанию электрооборудования, включая устройства релейной защиты и автоматики (РЗА).</w:t>
      </w:r>
    </w:p>
    <w:p w14:paraId="467170BB">
      <w:pPr>
        <w:numPr>
          <w:ilvl w:val="0"/>
          <w:numId w:val="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 охране труда при эксплуатации электроустановок, утвержденные Приказом Минтруда России от 15.12.2020 № 903н, определяющие требования безопасности при работе с электрооборудованием, в том числе с устройствами РЗА.</w:t>
      </w:r>
    </w:p>
    <w:p w14:paraId="08FE7F11">
      <w:pPr>
        <w:numPr>
          <w:ilvl w:val="0"/>
          <w:numId w:val="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 Р 58978-2020 «Энергетические системы. Релейная защита и автоматика. Взаимодействие и обмен данными между системами и устройствами релейной защиты и автоматики. Общие требования», устанавливающий общие требования к взаимодействию и обмену данными между системами и устройствами РЗА.</w:t>
      </w:r>
    </w:p>
    <w:p w14:paraId="265D6D71">
      <w:pPr>
        <w:numPr>
          <w:ilvl w:val="0"/>
          <w:numId w:val="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Должностная инструкция работника по обслуживанию и ремонту оборудования релейной защиты и автоматики электрических сетей, разрабатываемая на основе квалификационных характеристик, предусмотренных Единым тарифно-квалификационным справочником работ и профессий рабочих (ЕТКС).</w:t>
      </w:r>
    </w:p>
    <w:p w14:paraId="693C5FB7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среднего профессионального образования (ФГОС СПО) 13.02.06 «Релейная защита и автоматизация электроэнергетических систем» (утвержден Приказом Министерства образования и науки РФ от 14 декабря 2017 г. N 1217).</w:t>
      </w:r>
    </w:p>
    <w:p w14:paraId="4C30DD40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среднего профессионального образования (ФГОС СПО) 13.02.12 «Электрические станции, сети, их релейная защита и автоматизация» (утвержден Приказом Министерства просвещения РФ от 15 ноября 2023 г. N 864).</w:t>
      </w:r>
    </w:p>
    <w:p w14:paraId="09A4BE10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Приказ Министерства труда и социальной защиты РФ от 9 ноября 2021 г. N 786н «Об утверждении профессионального стандарта «Работник по обслуживанию и ремонту оборудования релейной защиты и автоматики электрических сетей»;</w:t>
      </w:r>
    </w:p>
    <w:p w14:paraId="101C2F2D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Правила устройства электроустановок ПУЭ (утв. приказом Минэнерго РФ от 8 июля 2002 г. N 204);</w:t>
      </w:r>
    </w:p>
    <w:p w14:paraId="244A9024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Отраслевые/корпоративные стандарты.</w:t>
      </w:r>
    </w:p>
    <w:p w14:paraId="5B8870C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Важным аспектом нормативно-правового регулирования является обеспечение соответствия квалификации персонала, осуществляющего обслуживание и ремонт оборудования РЗА, требованиям профессиональных стандартов. В соответствии с Федеральным законом от 03.07.2016 № 238-ФЗ «О независимой оценке квалификации» работники, занятые в данной сфере, должны проходить независимую оценку квалификации на соответствие требованиям профессиональных стандартов. Данная оценка проводится центрами оценки квалификаций (ЦОК) и позволяет подтвердить соответствие знаний, умений и профессиональных навыков работника установленным требованиям.</w:t>
      </w:r>
    </w:p>
    <w:p w14:paraId="1C5C130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В процессе эксплуатации и технического обслуживания оборудования РЗА необходимо руководствоваться также технической документацией заводов-изготовителей, регламентирующей порядок проведения работ, требования к применяемым материалам и инструментам, а также методы контроля и испытаний. Важно учитывать требования ГОСТ Р 51330.13-99 «Электрооборудование взрывозащищенное. Часть 13. Ремонт и реконструкция электрооборудования, содержащего взрывоопасные газы», в случае если оборудование РЗА установлено во взрывоопасных зонах.</w:t>
      </w:r>
    </w:p>
    <w:p w14:paraId="1352FA5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Помимо вышеперечисленных документов, необходимо учитывать требования региональных нормативных актов и локальных нормативных актов организаций, осуществляющих эксплуатацию электрических сетей. Данные акты могут содержать дополнительные требования к организации и проведению работ по обслуживанию и ремонту оборудования РЗА, учитывающие специфику конкретных объектов и условий эксплуатации. Систематический контроль за соблюдением требований нормативно-правовых актов и своевременное обновление знаний персонала являются ключевыми факторами обеспечения надежной и безопасной эксплуатации устройств РЗА электрических сетей.</w:t>
      </w:r>
    </w:p>
    <w:p w14:paraId="715AACA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eastAsia="Calibri" w:cs="Times New Roman"/>
          <w:b/>
          <w:bCs/>
          <w:sz w:val="28"/>
          <w:szCs w:val="28"/>
        </w:rPr>
      </w:pPr>
    </w:p>
    <w:p w14:paraId="3E9F573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ГОСТы:</w:t>
      </w:r>
    </w:p>
    <w:p w14:paraId="01E1C841">
      <w:pPr>
        <w:pStyle w:val="2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ГОСТ 2.709-89: Обозначения условные проводов и контактных соединений электрических элементов, оборудования и участков цепей в электрических схемах;</w:t>
      </w:r>
    </w:p>
    <w:p w14:paraId="4DCC0EF9">
      <w:pPr>
        <w:pStyle w:val="2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ГОСТ 2.710-81: Обозначения буквенно-цифровые в электрических схемах;</w:t>
      </w:r>
    </w:p>
    <w:p w14:paraId="28674A7E">
      <w:pPr>
        <w:pStyle w:val="2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ГОСТ 2.722-68: Обозначения условные графические в схемах. Машины электрические;</w:t>
      </w:r>
    </w:p>
    <w:p w14:paraId="1DA17AB3">
      <w:pPr>
        <w:pStyle w:val="2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ГОСТ 2.755-87: Обозначения условные графические в электрических схемах. Устройства коммутационные и контактные соединения;</w:t>
      </w:r>
    </w:p>
    <w:p w14:paraId="56ECDDF9">
      <w:pPr>
        <w:pStyle w:val="2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ГОСТ 10434-82: Соединения контактные электрические. Классификация. Общие технические требования;</w:t>
      </w:r>
    </w:p>
    <w:p w14:paraId="580C7518">
      <w:pPr>
        <w:pStyle w:val="2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ГОСТ 12.1.030-81: ССБТ. Электробезопасность. Защитное заземление и зануление;</w:t>
      </w:r>
    </w:p>
    <w:p w14:paraId="70F4F92D">
      <w:pPr>
        <w:pStyle w:val="2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ГОСТ 14254-2015 (IEC 60529:2013) «Степени защиты, обеспечиваемые оболочками (код IP)»; </w:t>
      </w:r>
    </w:p>
    <w:p w14:paraId="01081CED">
      <w:pPr>
        <w:pStyle w:val="2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ГОСТ 14255-69: Аппараты электрические на напряжение до 1000 В. Оболочки. Степени защиты;</w:t>
      </w:r>
    </w:p>
    <w:p w14:paraId="2F4A6107">
      <w:pPr>
        <w:pStyle w:val="2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ГОСТ 21.210-2014 «Система проектной документации для строительства. Условные графические изображения электрооборудования и проводок на планах»;</w:t>
      </w:r>
    </w:p>
    <w:p w14:paraId="53791479">
      <w:pPr>
        <w:pStyle w:val="2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ГОСТ 7399-97 «Провода и шнуры на номинальное напряжение до 450/750 В. Технические условия»;</w:t>
      </w:r>
    </w:p>
    <w:p w14:paraId="67133D82">
      <w:pPr>
        <w:pStyle w:val="2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ГОСТ 2491-82: Пускатели электромагнитные низковольтные;</w:t>
      </w:r>
    </w:p>
    <w:p w14:paraId="682B9AC3">
      <w:pPr>
        <w:pStyle w:val="2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ГОСТ 26522-2023 «Короткие замыкания в электроустановках. Термины и определения»;</w:t>
      </w:r>
    </w:p>
    <w:p w14:paraId="6BDD1250">
      <w:pPr>
        <w:pStyle w:val="2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ГОСТ 29322-2014: Напряжения стандартные;</w:t>
      </w:r>
    </w:p>
    <w:p w14:paraId="1B148159">
      <w:pPr>
        <w:pStyle w:val="2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ГОСТ 30331.1-2013 (IEC 60364-1:2005) «Электроустановки низковольтные. Часть 1. Основные положения, оценка общих характеристик, термины и определения»;</w:t>
      </w:r>
    </w:p>
    <w:p w14:paraId="7CB2F797">
      <w:pPr>
        <w:pStyle w:val="2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ГОСТ Р 50571.5.54-2024 (МЭК 60364-5-54:2021) «Электроустановки низковольтные. Часть 5-54. Выбор и монтаж электрического оборудования. Заземляющие устройства и защитные проводники»;</w:t>
      </w:r>
    </w:p>
    <w:p w14:paraId="78D147E6">
      <w:pPr>
        <w:pStyle w:val="2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ГОСТ Р МЭК 60204-1-2007 «Безопасность машин. Электрооборудование машин и механизмов. Часть 1. Общие требования»;</w:t>
      </w:r>
    </w:p>
    <w:p w14:paraId="0FC04010">
      <w:pPr>
        <w:pStyle w:val="2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Свод правил СП 76.13330.2016 «Электротехнические устройства». Актуализированная редакция СНиП 3.05.06-85.</w:t>
      </w:r>
    </w:p>
    <w:p w14:paraId="5D6662E1">
      <w:pPr>
        <w:rPr>
          <w:rFonts w:ascii="Times New Roman" w:hAnsi="Times New Roman" w:cs="Times New Roman"/>
          <w:sz w:val="28"/>
          <w:szCs w:val="28"/>
        </w:rPr>
      </w:pPr>
    </w:p>
    <w:p w14:paraId="3BEC2D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профессиональных задач специалиста по компетенции определяется профессиональной областью специалиста и базируется на требованиях современного рынка труда к данному специалисту. </w:t>
      </w:r>
    </w:p>
    <w:tbl>
      <w:tblPr>
        <w:tblStyle w:val="6"/>
        <w:tblW w:w="95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8703"/>
      </w:tblGrid>
      <w:tr w14:paraId="2C1C6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5514E4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color w:val="FFFFFF"/>
                <w:sz w:val="24"/>
                <w:szCs w:val="24"/>
              </w:rPr>
              <w:t>№</w:t>
            </w: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FFFFFF"/>
                <w:sz w:val="24"/>
                <w:szCs w:val="24"/>
              </w:rPr>
              <w:t>п/п</w:t>
            </w:r>
          </w:p>
        </w:tc>
        <w:tc>
          <w:tcPr>
            <w:tcW w:w="8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1D7BA9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color w:val="FFFFFF"/>
                <w:sz w:val="24"/>
                <w:szCs w:val="24"/>
              </w:rPr>
              <w:t>Виды деятельности/трудовые функции</w:t>
            </w:r>
          </w:p>
        </w:tc>
      </w:tr>
      <w:tr w14:paraId="35EC4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92FF4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8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9CCA3">
            <w:pPr>
              <w:pStyle w:val="26"/>
              <w:spacing w:after="0" w:line="240" w:lineRule="auto"/>
              <w:contextualSpacing/>
            </w:pPr>
            <w:r>
              <w:t>Выполнение простых видов работ по техническому обслуживанию и ремонту устройств РЗА</w:t>
            </w:r>
          </w:p>
        </w:tc>
      </w:tr>
      <w:tr w14:paraId="328E4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3B01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8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BA8F9">
            <w:pPr>
              <w:pStyle w:val="26"/>
              <w:spacing w:after="0" w:line="240" w:lineRule="auto"/>
              <w:contextualSpacing/>
            </w:pPr>
            <w:r>
              <w:t>Выполнение работ средней сложности по техническому обслуживанию и ремонту устройств РЗА</w:t>
            </w:r>
          </w:p>
        </w:tc>
      </w:tr>
      <w:tr w14:paraId="12FFD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679A4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8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2F221">
            <w:pPr>
              <w:pStyle w:val="26"/>
              <w:spacing w:after="0" w:line="240" w:lineRule="auto"/>
              <w:contextualSpacing/>
            </w:pPr>
            <w:r>
              <w:t>Выполнение сложных работ по техническому обслуживанию и ремонту устройств РЗА</w:t>
            </w:r>
          </w:p>
        </w:tc>
      </w:tr>
    </w:tbl>
    <w:p w14:paraId="7AF46963">
      <w:pPr>
        <w:tabs>
          <w:tab w:val="left" w:pos="3516"/>
        </w:tabs>
        <w:spacing w:after="0" w:line="240" w:lineRule="auto"/>
        <w:jc w:val="both"/>
      </w:pPr>
    </w:p>
    <w:sectPr>
      <w:footerReference r:id="rId13" w:type="first"/>
      <w:footerReference r:id="rId11" w:type="default"/>
      <w:footerReference r:id="rId12" w:type="even"/>
      <w:pgSz w:w="11906" w:h="16838"/>
      <w:pgMar w:top="1134" w:right="851" w:bottom="1134" w:left="1701" w:header="720" w:footer="709" w:gutter="0"/>
      <w:cols w:space="720" w:num="1"/>
      <w:docGrid w:linePitch="360" w:charSpace="-2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font1513">
    <w:altName w:val="Times New Roman"/>
    <w:panose1 w:val="020B0604020202020204"/>
    <w:charset w:val="CC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PT Astra Serif">
    <w:altName w:val="Arial"/>
    <w:panose1 w:val="020B0604020202020204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Yu Gothic UI"/>
    <w:panose1 w:val="020B0502040504020204"/>
    <w:charset w:val="00"/>
    <w:family w:val="swiss"/>
    <w:pitch w:val="default"/>
    <w:sig w:usb0="00000000" w:usb1="00000000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9CB8E">
    <w:pPr>
      <w:pStyle w:val="11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280D4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BA583">
    <w:pPr>
      <w:pStyle w:val="1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5E46C">
    <w:pPr>
      <w:pStyle w:val="11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D8BA5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B62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BF29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B9E4C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54A39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2E0E7EA2"/>
    <w:multiLevelType w:val="multilevel"/>
    <w:tmpl w:val="2E0E7EA2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nsid w:val="7B2938A4"/>
    <w:multiLevelType w:val="multilevel"/>
    <w:tmpl w:val="7B2938A4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FC"/>
    <w:rsid w:val="00076667"/>
    <w:rsid w:val="00120355"/>
    <w:rsid w:val="002F460D"/>
    <w:rsid w:val="00315C95"/>
    <w:rsid w:val="003531E0"/>
    <w:rsid w:val="004B4AE5"/>
    <w:rsid w:val="004C0BCC"/>
    <w:rsid w:val="00634B09"/>
    <w:rsid w:val="006A5C72"/>
    <w:rsid w:val="006C71FC"/>
    <w:rsid w:val="006D7D2D"/>
    <w:rsid w:val="008213D0"/>
    <w:rsid w:val="008D1806"/>
    <w:rsid w:val="009074EC"/>
    <w:rsid w:val="009228CB"/>
    <w:rsid w:val="00950F4C"/>
    <w:rsid w:val="00A04F63"/>
    <w:rsid w:val="00AC1F7F"/>
    <w:rsid w:val="00BE4069"/>
    <w:rsid w:val="00D401F8"/>
    <w:rsid w:val="00E87F3F"/>
    <w:rsid w:val="00F100A8"/>
    <w:rsid w:val="00F14AD3"/>
    <w:rsid w:val="00F15010"/>
    <w:rsid w:val="4860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160" w:line="254" w:lineRule="auto"/>
    </w:pPr>
    <w:rPr>
      <w:rFonts w:ascii="Calibri" w:hAnsi="Calibri" w:eastAsia="SimSun" w:cs="font1513"/>
      <w:sz w:val="22"/>
      <w:szCs w:val="22"/>
      <w:lang w:val="ru-RU" w:eastAsia="zh-CN" w:bidi="ar-SA"/>
    </w:rPr>
  </w:style>
  <w:style w:type="paragraph" w:styleId="2">
    <w:name w:val="heading 2"/>
    <w:basedOn w:val="3"/>
    <w:next w:val="4"/>
    <w:qFormat/>
    <w:uiPriority w:val="0"/>
    <w:pPr>
      <w:numPr>
        <w:ilvl w:val="1"/>
        <w:numId w:val="1"/>
      </w:numPr>
      <w:outlineLvl w:val="1"/>
    </w:pPr>
    <w:rPr>
      <w:rFonts w:ascii="Times New Roman" w:hAnsi="Times New Roman" w:eastAsia="Arial Unicode MS" w:cs="Tahoma"/>
      <w:b/>
      <w:bCs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1"/>
    <w:basedOn w:val="1"/>
    <w:next w:val="4"/>
    <w:qFormat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4">
    <w:name w:val="Body Text"/>
    <w:basedOn w:val="1"/>
    <w:qFormat/>
    <w:uiPriority w:val="0"/>
    <w:pPr>
      <w:spacing w:after="120"/>
    </w:pPr>
  </w:style>
  <w:style w:type="character" w:styleId="7">
    <w:name w:val="FollowedHyperlink"/>
    <w:qFormat/>
    <w:uiPriority w:val="0"/>
    <w:rPr>
      <w:color w:val="954F72"/>
      <w:u w:val="single"/>
    </w:rPr>
  </w:style>
  <w:style w:type="character" w:styleId="8">
    <w:name w:val="Hyperlink"/>
    <w:qFormat/>
    <w:uiPriority w:val="0"/>
    <w:rPr>
      <w:color w:val="000080"/>
      <w:u w:val="single"/>
    </w:rPr>
  </w:style>
  <w:style w:type="paragraph" w:styleId="9">
    <w:name w:val="caption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0">
    <w:name w:val="header"/>
    <w:basedOn w:val="1"/>
    <w:qFormat/>
    <w:uiPriority w:val="0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11">
    <w:name w:val="footer"/>
    <w:basedOn w:val="1"/>
    <w:qFormat/>
    <w:uiPriority w:val="0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12">
    <w:name w:val="List"/>
    <w:basedOn w:val="4"/>
    <w:qFormat/>
    <w:uiPriority w:val="0"/>
    <w:rPr>
      <w:rFonts w:cs="Lucida Sans"/>
    </w:rPr>
  </w:style>
  <w:style w:type="paragraph" w:styleId="13">
    <w:name w:val="Normal (Web)"/>
    <w:basedOn w:val="1"/>
    <w:semiHidden/>
    <w:unhideWhenUsed/>
    <w:qFormat/>
    <w:uiPriority w:val="99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WW8Num1z0"/>
    <w:qFormat/>
    <w:uiPriority w:val="0"/>
    <w:rPr>
      <w:rFonts w:ascii="Symbol" w:hAnsi="Symbol" w:cs="Symbol"/>
    </w:rPr>
  </w:style>
  <w:style w:type="character" w:customStyle="1" w:styleId="15">
    <w:name w:val="Основной шрифт абзаца1"/>
    <w:qFormat/>
    <w:uiPriority w:val="0"/>
  </w:style>
  <w:style w:type="character" w:customStyle="1" w:styleId="16">
    <w:name w:val="Основной шрифт абзаца2"/>
    <w:qFormat/>
    <w:uiPriority w:val="0"/>
  </w:style>
  <w:style w:type="character" w:customStyle="1" w:styleId="17">
    <w:name w:val="Абзац списка Знак"/>
    <w:qFormat/>
    <w:uiPriority w:val="0"/>
    <w:rPr>
      <w:rFonts w:ascii="Calibri" w:hAnsi="Calibri" w:eastAsia="Calibri" w:cs="Times New Roman"/>
    </w:rPr>
  </w:style>
  <w:style w:type="character" w:customStyle="1" w:styleId="18">
    <w:name w:val="Верхний колонтитул Знак"/>
    <w:basedOn w:val="16"/>
    <w:qFormat/>
    <w:uiPriority w:val="0"/>
  </w:style>
  <w:style w:type="character" w:customStyle="1" w:styleId="19">
    <w:name w:val="Нижний колонтитул Знак"/>
    <w:basedOn w:val="16"/>
    <w:qFormat/>
    <w:uiPriority w:val="0"/>
  </w:style>
  <w:style w:type="character" w:customStyle="1" w:styleId="20">
    <w:name w:val="ListLabel 3"/>
    <w:qFormat/>
    <w:uiPriority w:val="0"/>
  </w:style>
  <w:style w:type="paragraph" w:customStyle="1" w:styleId="21">
    <w:name w:val="Указатель2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customStyle="1" w:styleId="22">
    <w:name w:val="Название1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3">
    <w:name w:val="Указатель1"/>
    <w:basedOn w:val="1"/>
    <w:qFormat/>
    <w:uiPriority w:val="0"/>
    <w:pPr>
      <w:suppressLineNumbers/>
    </w:pPr>
    <w:rPr>
      <w:rFonts w:cs="Lucida Sans"/>
    </w:rPr>
  </w:style>
  <w:style w:type="paragraph" w:customStyle="1" w:styleId="24">
    <w:name w:val="Абзац списка1"/>
    <w:basedOn w:val="1"/>
    <w:qFormat/>
    <w:uiPriority w:val="0"/>
    <w:pPr>
      <w:spacing w:after="200" w:line="276" w:lineRule="auto"/>
      <w:ind w:left="720"/>
    </w:pPr>
    <w:rPr>
      <w:rFonts w:eastAsia="Calibri" w:cs="Times New Roman"/>
    </w:rPr>
  </w:style>
  <w:style w:type="paragraph" w:customStyle="1" w:styleId="25">
    <w:name w:val="Колонтитул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26">
    <w:name w:val="Default"/>
    <w:basedOn w:val="1"/>
    <w:qFormat/>
    <w:uiPriority w:val="0"/>
    <w:pPr>
      <w:autoSpaceDE w:val="0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7">
    <w:name w:val="formattext"/>
    <w:basedOn w:val="1"/>
    <w:qFormat/>
    <w:uiPriority w:val="0"/>
    <w:pPr>
      <w:spacing w:before="100" w:after="100" w:line="100" w:lineRule="atLeast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8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29">
    <w:name w:val="Заголовок таблицы"/>
    <w:basedOn w:val="28"/>
    <w:qFormat/>
    <w:uiPriority w:val="0"/>
    <w:pPr>
      <w:jc w:val="center"/>
    </w:pPr>
    <w:rPr>
      <w:b/>
      <w:bCs/>
    </w:rPr>
  </w:style>
  <w:style w:type="paragraph" w:customStyle="1" w:styleId="30">
    <w:name w:val="Обычный1"/>
    <w:qFormat/>
    <w:uiPriority w:val="0"/>
    <w:pPr>
      <w:suppressAutoHyphens/>
      <w:spacing w:after="200" w:line="276" w:lineRule="auto"/>
      <w:textAlignment w:val="top"/>
    </w:pPr>
    <w:rPr>
      <w:rFonts w:ascii="Liberation Serif" w:hAnsi="Liberation Serif" w:eastAsia="SimSun" w:cs="Arial"/>
      <w:color w:val="00000A"/>
      <w:sz w:val="24"/>
      <w:szCs w:val="24"/>
      <w:lang w:val="ru-RU" w:eastAsia="zh-CN" w:bidi="ar-SA"/>
    </w:rPr>
  </w:style>
  <w:style w:type="paragraph" w:customStyle="1" w:styleId="31">
    <w:name w:val="Обычный (Интернет)1"/>
    <w:basedOn w:val="30"/>
    <w:qFormat/>
    <w:uiPriority w:val="0"/>
    <w:pPr>
      <w:spacing w:before="280" w:after="280" w:line="300" w:lineRule="atLeast"/>
    </w:pPr>
    <w:rPr>
      <w:rFonts w:ascii="Verdana" w:hAnsi="Verdana" w:eastAsia="Times New Roman" w:cs="Verdana"/>
      <w:color w:val="000000"/>
      <w:sz w:val="21"/>
      <w:szCs w:val="21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1863</Words>
  <Characters>10625</Characters>
  <Lines>88</Lines>
  <Paragraphs>24</Paragraphs>
  <TotalTime>4</TotalTime>
  <ScaleCrop>false</ScaleCrop>
  <LinksUpToDate>false</LinksUpToDate>
  <CharactersWithSpaces>12464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2025-03-27T20:15:00Z</dcterms:created>
  <dc:creator>ЙОСТ3</dc:creator>
  <cp:lastModifiedBy>Преподаватель</cp:lastModifiedBy>
  <cp:lastPrinted>2411-12-31T21:29:00Z</cp:lastPrinted>
  <dcterms:modified xsi:type="dcterms:W3CDTF">2026-01-21T00:13:24Z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1049-12.2.0.23196</vt:lpwstr>
  </property>
  <property fmtid="{D5CDD505-2E9C-101B-9397-08002B2CF9AE}" pid="9" name="ICV">
    <vt:lpwstr>3D70B6032DBB4FCCB44C42F533363AFD_13</vt:lpwstr>
  </property>
</Properties>
</file>