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3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КОНКУРСНАЯ ПРОГРАММА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pStyle w:val="3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РЕГИОНАЛЬНОГО ЭТАПА ЧЕМПИОНАТА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pStyle w:val="3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 ПРОФЕССИОНАЛЬНОМУ МАСТЕРСТВУ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pStyle w:val="3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«ПРОФЕССИОНАЛЫ»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pStyle w:val="3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ЗАБАЙКАЛЬСКИЙ КРАЙ – 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pStyle w:val="33"/>
        <w:jc w:val="center"/>
        <w:rPr>
          <w:rFonts w:ascii="Times New Roman" w:hAnsi="Times New Roman" w:cs="Times New Roman"/>
          <w:b w:val="0"/>
          <w:bCs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«Интеллектуальные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системы учета электроэнергии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/>
          <w:color w:val="auto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auto"/>
          <w:szCs w:val="28"/>
        </w:rPr>
      </w:r>
    </w:p>
    <w:p>
      <w:pPr>
        <w:pStyle w:val="668"/>
        <w:jc w:val="center"/>
        <w:tabs>
          <w:tab w:val="clear" w:pos="4677" w:leader="none"/>
          <w:tab w:val="left" w:pos="7880" w:leader="none"/>
        </w:tabs>
        <w:rPr>
          <w:b w:val="0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r>
      <w:r>
        <w:rPr>
          <w:b w:val="0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r>
    </w:p>
    <w:p>
      <w:pPr>
        <w:pStyle w:val="668"/>
        <w:jc w:val="center"/>
        <w:tabs>
          <w:tab w:val="clear" w:pos="4677" w:leader="none"/>
          <w:tab w:val="left" w:pos="7880" w:leader="none"/>
        </w:tabs>
        <w:rPr>
          <w:b w:val="0"/>
          <w:color w:val="auto"/>
          <w:szCs w:val="28"/>
        </w:rPr>
      </w:pPr>
      <w:r>
        <w:rPr>
          <w:rFonts w:eastAsia="Times New Roman"/>
          <w:color w:val="auto"/>
          <w:szCs w:val="28"/>
        </w:rPr>
        <w:t xml:space="preserve">г.Чита, ул. Полины Осипенко д.18</w:t>
      </w:r>
      <w:r>
        <w:rPr>
          <w:b w:val="0"/>
          <w:color w:val="auto"/>
          <w:szCs w:val="28"/>
        </w:rPr>
      </w:r>
    </w:p>
    <w:p>
      <w:pPr>
        <w:pStyle w:val="668"/>
        <w:jc w:val="center"/>
        <w:tabs>
          <w:tab w:val="clear" w:pos="4677" w:leader="none"/>
          <w:tab w:val="left" w:pos="7880" w:leader="none"/>
        </w:tabs>
        <w:rPr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ГПОУ «Читинский политехнический колледж»</w:t>
      </w:r>
      <w:r>
        <w:rPr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</w:r>
    </w:p>
    <w:p>
      <w:pPr>
        <w:contextualSpacing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6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5"/>
        <w:gridCol w:w="1984"/>
        <w:gridCol w:w="7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/>
        </w:trPr>
        <w:tc>
          <w:tcPr>
            <w:tcW w:w="855" w:type="dxa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/>
        </w:trPr>
        <w:tc>
          <w:tcPr>
            <w:gridSpan w:val="3"/>
            <w:tcW w:w="100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09.02.2025 г. Д-2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09-00 до 10-00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Прибытие всех экспертов на площадку, регистрация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10-00 до 10-30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 w:bidi="ar"/>
              </w:rPr>
              <w:t xml:space="preserve">Инструктаж по ТБ и ОТ экспертов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10-30 до 11-30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 w:eastAsia="zh-CN" w:bidi="ar"/>
              </w:rPr>
              <w:t xml:space="preserve">Обучение экспертов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11-30 до 13-00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 w:bidi="ar"/>
              </w:rPr>
              <w:t xml:space="preserve">Внесение 30% изменений, критерии оценки, распределение ролей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13-00 до 14-00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 w:eastAsia="zh-CN" w:bidi="ar"/>
              </w:rPr>
              <w:t xml:space="preserve">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14-00 до 15-00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val="en-US" w:eastAsia="zh-CN" w:bidi="ar"/>
              </w:rPr>
              <w:t xml:space="preserve">Внесение критериев в ЦСО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ind w:left="5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15-00 до 16-30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 печать конкурсной документации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/>
        </w:trPr>
        <w:tc>
          <w:tcPr>
            <w:gridSpan w:val="3"/>
            <w:tcW w:w="100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10.02.2025 г. Д-1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4"/>
                <w:szCs w:val="24"/>
                <w:lang w:val="en-US" w:eastAsia="zh-CN" w:bidi="ar"/>
              </w:rPr>
              <w:t xml:space="preserve">с 10-00 до 12-00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4"/>
                <w:szCs w:val="24"/>
                <w:lang w:val="en-US" w:eastAsia="zh-CN" w:bidi="ar"/>
              </w:rPr>
              <w:t xml:space="preserve">Открытие чемпионата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 12-00 до 12-30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 xml:space="preserve">Прибытие всех экспертов и участников на площадку, регистрация участников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 12-30 до 13-00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 xml:space="preserve">Инструктаж по ТБ и ОТ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 13-00 до 13-30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 xml:space="preserve">Жеребьевка, ознакомление участников с конкурсным заданием, критериями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 13-30 до 14-30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 14-30 до 15-30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 xml:space="preserve">Подготовка участниками рабочих мест.                                                         ФОТО И ВИДЕОСЪЕМКА ЗАПРЕЩЕНА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 15-30 до 16-00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Ответы на вопросы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16-00 до 17-00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экспертов, подведение итогов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gridSpan w:val="3"/>
            <w:tcW w:w="100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11.02.2025 г. 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с 08-00 до 08-30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Прибытие всех экспертов и участников на площадку, перекличка экспертов, участников, свободное общение с экспертами (в зоне брифинга).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с 08-30 до 09-00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Инструктаж по ТБ и ОТ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09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0 до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09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Выдача задания Модуля А «Проверка и замена расчётных приборов учёта потребителей».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с 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9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10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4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Выполнение Модуля А «Проверка и замена расчётных приборов учёта потребителей».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с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4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0 до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5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Обед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с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5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 xml:space="preserve">0 до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17-00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Собрание экспертов, подведение итогов дня, оценка модуля А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.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gridSpan w:val="3"/>
            <w:tcW w:w="10068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eastAsia="SimSu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12.02.2025 г. Д 2</w:t>
            </w:r>
            <w:r>
              <w:rPr>
                <w:rFonts w:ascii="Calibri" w:hAnsi="Calibri" w:eastAsia="SimSun"/>
                <w:b/>
                <w:bCs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08-00 до 08-30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Прибытие всех экспертов и участников на площадку,перекличка экспертов, участников,свободное общение с экспертами (в зоне брифинга).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shd w:val="clear" w:color="auto"/>
            <w:tcW w:w="1984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с 08-30 до 09-00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  <w:tc>
          <w:tcPr>
            <w:shd w:val="clear" w:color="auto"/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Инструктаж по ТБ и ОТ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с 09-00 до 09-10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Выдача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 задания Модуля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Б «Сборка технического учёта с подключением УСПД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»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с 09-10 до 13-40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Выполнение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 Модуля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Б «Сборка технического учёта с подключением УСПД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с 13-40 до 14-40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Обед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14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4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 до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14-5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Выдача задания Модуля В «Пусконаладочные работы интеллектуальной системы учета электроэнергии»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14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5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 до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6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5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Выполнение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Модуля В «Пусконаладочные работы интеллектуальной системы учета электроэнергии»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8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6-5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0 - 1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8-00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Собрание экспертов, подведение итогов дня, оценка модул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ей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 Б и В.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/>
        </w:trPr>
        <w:tc>
          <w:tcPr>
            <w:gridSpan w:val="3"/>
            <w:tcW w:w="100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13.02.2025 г. Д 3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08-00 до 08-30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Прибытие всех экспертов и участников на площадку, перекличка экспертов, участников, свободное общение с экспертами (в зоне брифинга).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с 08-30 до 09-00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Инструктаж по ТБ и ОТ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9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 до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9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задания Модул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неисправностей в системе учета электроэнергии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9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 до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неисправностей в системе учета электроэнергии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</w:tr>
      <w:tr>
        <w:tblPrEx/>
        <w:trPr>
          <w:trHeight w:val="300"/>
        </w:trPr>
        <w:tc>
          <w:tcPr>
            <w:tcW w:w="8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10-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30 до 10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40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задания Модул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показателей надежности и качества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/>
              </w:rPr>
            </w:r>
          </w:p>
        </w:tc>
      </w:tr>
      <w:tr>
        <w:tblPrEx/>
        <w:trPr>
          <w:trHeight w:val="300"/>
        </w:trPr>
        <w:tc>
          <w:tcPr>
            <w:tcW w:w="8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10-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40 до 11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40</w:t>
            </w:r>
            <w:r/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Модул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показателей надежности и качества электроэнергии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/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с 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2-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00 до 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3-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00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  <w:t xml:space="preserve">Обед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8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с 1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00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15-30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Собрание экспертов, подведение итогов дня, оценка модул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я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 xml:space="preserve"> Г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,Д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855" w:type="dxa"/>
            <w:vAlign w:val="center"/>
            <w:textDirection w:val="lrTb"/>
            <w:noWrap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 xml:space="preserve">9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с 15-30 до 17-00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72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 xml:space="preserve">Занесение результатов в ЦСО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4"/>
    <w:link w:val="65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4"/>
    <w:link w:val="667"/>
    <w:uiPriority w:val="10"/>
    <w:rPr>
      <w:sz w:val="48"/>
      <w:szCs w:val="48"/>
    </w:rPr>
  </w:style>
  <w:style w:type="character" w:styleId="37">
    <w:name w:val="Subtitle Char"/>
    <w:basedOn w:val="664"/>
    <w:link w:val="669"/>
    <w:uiPriority w:val="11"/>
    <w:rPr>
      <w:sz w:val="24"/>
      <w:szCs w:val="24"/>
    </w:rPr>
  </w:style>
  <w:style w:type="character" w:styleId="39">
    <w:name w:val="Quote Char"/>
    <w:link w:val="682"/>
    <w:uiPriority w:val="29"/>
    <w:rPr>
      <w:i/>
    </w:rPr>
  </w:style>
  <w:style w:type="character" w:styleId="41">
    <w:name w:val="Intense Quote Char"/>
    <w:link w:val="686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character" w:styleId="45">
    <w:name w:val="Footer Char"/>
    <w:basedOn w:val="664"/>
    <w:link w:val="668"/>
    <w:uiPriority w:val="99"/>
  </w:style>
  <w:style w:type="paragraph" w:styleId="46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8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71"/>
    <w:uiPriority w:val="9"/>
    <w:qFormat/>
    <w:pPr>
      <w:keepLines/>
      <w:keepNext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656">
    <w:name w:val="Heading 2"/>
    <w:basedOn w:val="654"/>
    <w:next w:val="654"/>
    <w:link w:val="672"/>
    <w:uiPriority w:val="9"/>
    <w:semiHidden/>
    <w:unhideWhenUsed/>
    <w:qFormat/>
    <w:pPr>
      <w:keepLines/>
      <w:keepNext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57">
    <w:name w:val="Heading 3"/>
    <w:basedOn w:val="654"/>
    <w:next w:val="654"/>
    <w:link w:val="673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58">
    <w:name w:val="Heading 4"/>
    <w:basedOn w:val="654"/>
    <w:next w:val="654"/>
    <w:link w:val="674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sz w:val="24"/>
      <w:szCs w:val="24"/>
      <w14:ligatures w14:val="standardContextual"/>
    </w:rPr>
  </w:style>
  <w:style w:type="paragraph" w:styleId="659">
    <w:name w:val="Heading 5"/>
    <w:basedOn w:val="654"/>
    <w:next w:val="654"/>
    <w:link w:val="675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660">
    <w:name w:val="Heading 6"/>
    <w:basedOn w:val="654"/>
    <w:next w:val="654"/>
    <w:link w:val="676"/>
    <w:uiPriority w:val="9"/>
    <w:semiHidden/>
    <w:unhideWhenUsed/>
    <w:qFormat/>
    <w:pPr>
      <w:keepLines/>
      <w:keepNext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661">
    <w:name w:val="Heading 7"/>
    <w:basedOn w:val="654"/>
    <w:next w:val="654"/>
    <w:link w:val="677"/>
    <w:uiPriority w:val="9"/>
    <w:semiHidden/>
    <w:unhideWhenUsed/>
    <w:qFormat/>
    <w:pPr>
      <w:keepLines/>
      <w:keepNext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662">
    <w:name w:val="Heading 8"/>
    <w:basedOn w:val="654"/>
    <w:next w:val="654"/>
    <w:link w:val="678"/>
    <w:uiPriority w:val="9"/>
    <w:semiHidden/>
    <w:unhideWhenUsed/>
    <w:qFormat/>
    <w:pPr>
      <w:keepLines/>
      <w:keepNext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663">
    <w:name w:val="Heading 9"/>
    <w:basedOn w:val="654"/>
    <w:next w:val="654"/>
    <w:link w:val="679"/>
    <w:uiPriority w:val="9"/>
    <w:semiHidden/>
    <w:unhideWhenUsed/>
    <w:qFormat/>
    <w:pPr>
      <w:keepLines/>
      <w:keepNext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664" w:default="1">
    <w:name w:val="Default Paragraph Font"/>
    <w:uiPriority w:val="1"/>
    <w:semiHidden/>
    <w:unhideWhenUsed/>
    <w:qFormat/>
  </w:style>
  <w:style w:type="table" w:styleId="66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6">
    <w:name w:val="Hyperlink"/>
    <w:basedOn w:val="664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67">
    <w:name w:val="Title"/>
    <w:basedOn w:val="654"/>
    <w:next w:val="654"/>
    <w:link w:val="68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paragraph" w:styleId="668">
    <w:name w:val="Footer"/>
    <w:basedOn w:val="654"/>
    <w:link w:val="696"/>
    <w:uiPriority w:val="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b/>
      <w:color w:val="000000"/>
      <w:sz w:val="28"/>
      <w:szCs w:val="24"/>
      <w:lang w:eastAsia="ru-RU"/>
    </w:rPr>
  </w:style>
  <w:style w:type="paragraph" w:styleId="669">
    <w:name w:val="Subtitle"/>
    <w:basedOn w:val="654"/>
    <w:next w:val="654"/>
    <w:link w:val="681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670">
    <w:name w:val="Table Grid"/>
    <w:basedOn w:val="665"/>
    <w:uiPriority w:val="39"/>
    <w:qFormat/>
    <w:rPr>
      <w:sz w:val="28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1" w:customStyle="1">
    <w:name w:val="Заголовок 1 Знак"/>
    <w:basedOn w:val="664"/>
    <w:link w:val="655"/>
    <w:uiPriority w:val="9"/>
    <w:qFormat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styleId="672" w:customStyle="1">
    <w:name w:val="Заголовок 2 Знак"/>
    <w:basedOn w:val="664"/>
    <w:link w:val="656"/>
    <w:uiPriority w:val="9"/>
    <w:semiHidden/>
    <w:qFormat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styleId="673" w:customStyle="1">
    <w:name w:val="Заголовок 3 Знак"/>
    <w:basedOn w:val="664"/>
    <w:link w:val="657"/>
    <w:uiPriority w:val="9"/>
    <w:semiHidden/>
    <w:qFormat/>
    <w:rPr>
      <w:rFonts w:eastAsiaTheme="majorEastAsia" w:cstheme="majorBidi"/>
      <w:color w:val="2f5597" w:themeColor="accent1" w:themeShade="BF"/>
      <w:sz w:val="28"/>
      <w:szCs w:val="28"/>
    </w:rPr>
  </w:style>
  <w:style w:type="character" w:styleId="674" w:customStyle="1">
    <w:name w:val="Заголовок 4 Знак"/>
    <w:basedOn w:val="664"/>
    <w:link w:val="658"/>
    <w:uiPriority w:val="9"/>
    <w:semiHidden/>
    <w:qFormat/>
    <w:rPr>
      <w:rFonts w:eastAsiaTheme="majorEastAsia" w:cstheme="majorBidi"/>
      <w:i/>
      <w:iCs/>
      <w:color w:val="2f5597" w:themeColor="accent1" w:themeShade="BF"/>
    </w:rPr>
  </w:style>
  <w:style w:type="character" w:styleId="675" w:customStyle="1">
    <w:name w:val="Заголовок 5 Знак"/>
    <w:basedOn w:val="664"/>
    <w:link w:val="659"/>
    <w:uiPriority w:val="9"/>
    <w:semiHidden/>
    <w:qFormat/>
    <w:rPr>
      <w:rFonts w:eastAsiaTheme="majorEastAsia" w:cstheme="majorBidi"/>
      <w:color w:val="2f5597" w:themeColor="accent1" w:themeShade="BF"/>
    </w:rPr>
  </w:style>
  <w:style w:type="character" w:styleId="676" w:customStyle="1">
    <w:name w:val="Заголовок 6 Знак"/>
    <w:basedOn w:val="664"/>
    <w:link w:val="660"/>
    <w:uiPriority w:val="9"/>
    <w:semiHidden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677" w:customStyle="1">
    <w:name w:val="Заголовок 7 Знак"/>
    <w:basedOn w:val="664"/>
    <w:link w:val="661"/>
    <w:uiPriority w:val="9"/>
    <w:semiHidden/>
    <w:qFormat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678" w:customStyle="1">
    <w:name w:val="Заголовок 8 Знак"/>
    <w:basedOn w:val="664"/>
    <w:link w:val="662"/>
    <w:uiPriority w:val="9"/>
    <w:semiHidden/>
    <w:qFormat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679" w:customStyle="1">
    <w:name w:val="Заголовок 9 Знак"/>
    <w:basedOn w:val="664"/>
    <w:link w:val="663"/>
    <w:uiPriority w:val="9"/>
    <w:semiHidden/>
    <w:qFormat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680" w:customStyle="1">
    <w:name w:val="Заголовок Знак"/>
    <w:basedOn w:val="664"/>
    <w:link w:val="667"/>
    <w:uiPriority w:val="10"/>
    <w:qFormat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1" w:customStyle="1">
    <w:name w:val="Подзаголовок Знак"/>
    <w:basedOn w:val="664"/>
    <w:link w:val="66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82">
    <w:name w:val="Quote"/>
    <w:basedOn w:val="654"/>
    <w:next w:val="654"/>
    <w:link w:val="683"/>
    <w:uiPriority w:val="29"/>
    <w:qFormat/>
    <w:pPr>
      <w:jc w:val="center"/>
      <w:spacing w:before="160" w:line="278" w:lineRule="auto"/>
    </w:pPr>
    <w:rPr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styleId="683" w:customStyle="1">
    <w:name w:val="Цитата 2 Знак"/>
    <w:basedOn w:val="664"/>
    <w:link w:val="68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84">
    <w:name w:val="List Paragraph"/>
    <w:basedOn w:val="654"/>
    <w:uiPriority w:val="34"/>
    <w:qFormat/>
    <w:pPr>
      <w:contextualSpacing/>
      <w:ind w:left="720"/>
      <w:spacing w:line="278" w:lineRule="auto"/>
    </w:pPr>
    <w:rPr>
      <w:sz w:val="24"/>
      <w:szCs w:val="24"/>
      <w14:ligatures w14:val="standardContextual"/>
    </w:rPr>
  </w:style>
  <w:style w:type="character" w:styleId="685" w:customStyle="1">
    <w:name w:val="Сильное выделение1"/>
    <w:basedOn w:val="664"/>
    <w:uiPriority w:val="21"/>
    <w:qFormat/>
    <w:rPr>
      <w:i/>
      <w:iCs/>
      <w:color w:val="2f5597" w:themeColor="accent1" w:themeShade="BF"/>
    </w:rPr>
  </w:style>
  <w:style w:type="paragraph" w:styleId="686">
    <w:name w:val="Intense Quote"/>
    <w:basedOn w:val="654"/>
    <w:next w:val="654"/>
    <w:link w:val="687"/>
    <w:uiPriority w:val="30"/>
    <w:qFormat/>
    <w:pPr>
      <w:ind w:left="864" w:right="864"/>
      <w:jc w:val="center"/>
      <w:spacing w:before="360" w:after="360" w:line="278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597" w:themeColor="accent1" w:themeShade="BF"/>
      <w:sz w:val="24"/>
      <w:szCs w:val="24"/>
      <w14:ligatures w14:val="standardContextual"/>
    </w:rPr>
  </w:style>
  <w:style w:type="character" w:styleId="687" w:customStyle="1">
    <w:name w:val="Выделенная цитата Знак"/>
    <w:basedOn w:val="664"/>
    <w:link w:val="686"/>
    <w:uiPriority w:val="30"/>
    <w:qFormat/>
    <w:rPr>
      <w:i/>
      <w:iCs/>
      <w:color w:val="2f5597" w:themeColor="accent1" w:themeShade="BF"/>
    </w:rPr>
  </w:style>
  <w:style w:type="character" w:styleId="688" w:customStyle="1">
    <w:name w:val="Сильная ссылка1"/>
    <w:basedOn w:val="664"/>
    <w:uiPriority w:val="32"/>
    <w:qFormat/>
    <w:rPr>
      <w:b/>
      <w:bCs/>
      <w:smallCaps/>
      <w:color w:val="2f5597" w:themeColor="accent1" w:themeShade="BF"/>
      <w:spacing w:val="5"/>
    </w:rPr>
  </w:style>
  <w:style w:type="character" w:styleId="689" w:customStyle="1">
    <w:name w:val="translatable-message"/>
    <w:basedOn w:val="664"/>
    <w:uiPriority w:val="0"/>
  </w:style>
  <w:style w:type="paragraph" w:styleId="690" w:customStyle="1">
    <w:name w:val="z-Начало формы1"/>
    <w:basedOn w:val="654"/>
    <w:next w:val="654"/>
    <w:link w:val="691"/>
    <w:uiPriority w:val="99"/>
    <w:semiHidden/>
    <w:unhideWhenUsed/>
    <w:qFormat/>
    <w:pPr>
      <w:jc w:val="center"/>
      <w:spacing w:after="0" w:line="240" w:lineRule="auto"/>
      <w:pBdr>
        <w:bottom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691" w:customStyle="1">
    <w:name w:val="z-Начало формы Знак"/>
    <w:basedOn w:val="664"/>
    <w:link w:val="690"/>
    <w:uiPriority w:val="99"/>
    <w:semiHidden/>
    <w:rPr>
      <w:rFonts w:ascii="Arial" w:hAnsi="Arial" w:eastAsia="Times New Roman" w:cs="Arial"/>
      <w:vanish/>
      <w:sz w:val="16"/>
      <w:szCs w:val="16"/>
      <w:lang w:eastAsia="ru-RU"/>
      <w14:ligatures w14:val="none"/>
    </w:rPr>
  </w:style>
  <w:style w:type="paragraph" w:styleId="692" w:customStyle="1">
    <w:name w:val="z-Конец формы1"/>
    <w:basedOn w:val="654"/>
    <w:next w:val="654"/>
    <w:link w:val="693"/>
    <w:uiPriority w:val="99"/>
    <w:semiHidden/>
    <w:unhideWhenUsed/>
    <w:qFormat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693" w:customStyle="1">
    <w:name w:val="z-Конец формы Знак"/>
    <w:basedOn w:val="664"/>
    <w:link w:val="692"/>
    <w:uiPriority w:val="99"/>
    <w:semiHidden/>
    <w:rPr>
      <w:rFonts w:ascii="Arial" w:hAnsi="Arial" w:eastAsia="Times New Roman" w:cs="Arial"/>
      <w:vanish/>
      <w:sz w:val="16"/>
      <w:szCs w:val="16"/>
      <w:lang w:eastAsia="ru-RU"/>
      <w14:ligatures w14:val="none"/>
    </w:rPr>
  </w:style>
  <w:style w:type="character" w:styleId="694" w:customStyle="1">
    <w:name w:val="Неразрешенное упоминание1"/>
    <w:basedOn w:val="664"/>
    <w:uiPriority w:val="99"/>
    <w:semiHidden/>
    <w:unhideWhenUsed/>
    <w:qFormat/>
    <w:rPr>
      <w:color w:val="605e5c"/>
      <w:shd w:val="clear" w:color="auto" w:fill="e1dfdd"/>
    </w:rPr>
  </w:style>
  <w:style w:type="paragraph" w:styleId="695" w:customStyle="1">
    <w:name w:val="Table Paragraph"/>
    <w:basedOn w:val="65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96" w:customStyle="1">
    <w:name w:val="Нижний колонтитул Знак"/>
    <w:basedOn w:val="664"/>
    <w:link w:val="668"/>
    <w:uiPriority w:val="0"/>
    <w:qFormat/>
    <w:rPr>
      <w:rFonts w:ascii="Times New Roman" w:hAnsi="Times New Roman" w:eastAsia="Calibri" w:cs="Times New Roman"/>
      <w:b/>
      <w:color w:val="000000"/>
      <w:sz w:val="28"/>
      <w:lang w:eastAsia="ru-RU"/>
      <w14:ligatures w14:val="none"/>
    </w:rPr>
  </w:style>
  <w:style w:type="paragraph" w:styleId="697" w:customStyle="1">
    <w:name w:val="Обычный1"/>
    <w:uiPriority w:val="0"/>
    <w:qFormat/>
    <w:pPr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numbering" w:styleId="21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Лисичникова</dc:creator>
  <cp:revision>3</cp:revision>
  <dcterms:created xsi:type="dcterms:W3CDTF">2025-12-26T03:13:00Z</dcterms:created>
  <dcterms:modified xsi:type="dcterms:W3CDTF">2026-01-20T02:02:44Z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75EB83A94FF8431591CA05A31F93F2DF_13</vt:lpwstr>
  </property>
</Properties>
</file>